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7C83" w14:textId="11097744" w:rsidR="00782E95" w:rsidRDefault="00782E95" w:rsidP="009977AB">
      <w:pPr>
        <w:pStyle w:val="Heading1"/>
      </w:pPr>
      <w:r>
        <w:t xml:space="preserve">Measuring CO2e </w:t>
      </w:r>
    </w:p>
    <w:p w14:paraId="354C0A9E" w14:textId="6B61C167" w:rsidR="00782E95" w:rsidRPr="009977AB" w:rsidRDefault="00782E95" w:rsidP="009977AB">
      <w:pPr>
        <w:pStyle w:val="Heading2"/>
      </w:pPr>
      <w:r w:rsidRPr="009977AB">
        <w:t>Purpose</w:t>
      </w:r>
    </w:p>
    <w:p w14:paraId="414015AE" w14:textId="77777777" w:rsidR="00782E95" w:rsidRPr="00D14897" w:rsidRDefault="00782E95" w:rsidP="00782E95">
      <w:pPr>
        <w:rPr>
          <w:bCs/>
        </w:rPr>
      </w:pPr>
      <w:r>
        <w:rPr>
          <w:bCs/>
        </w:rPr>
        <w:t xml:space="preserve">Suffolk Artlink recognises that environmental degradation, including climate change and ocean acidification is having a dramatic, negative impact on life on Earth. </w:t>
      </w:r>
    </w:p>
    <w:p w14:paraId="528C9C96" w14:textId="77777777" w:rsidR="00782E95" w:rsidRDefault="00782E95" w:rsidP="00782E95">
      <w:r w:rsidRPr="00AB48D8">
        <w:t>Suffolk Artlink</w:t>
      </w:r>
      <w:r w:rsidRPr="00567611">
        <w:rPr>
          <w:i/>
          <w:iCs/>
          <w:color w:val="FF0000"/>
        </w:rPr>
        <w:t xml:space="preserve"> </w:t>
      </w:r>
      <w:r>
        <w:t xml:space="preserve">must </w:t>
      </w:r>
      <w:r w:rsidRPr="00567611">
        <w:t xml:space="preserve">provide a high-quality service in a manner that ensures a safe and healthy workplace for its staff and minimises its potential impact on the environment. </w:t>
      </w:r>
    </w:p>
    <w:p w14:paraId="7760014D" w14:textId="77777777" w:rsidR="00782E95" w:rsidRDefault="00782E95" w:rsidP="00782E95">
      <w:r w:rsidRPr="00AB48D8">
        <w:t>Suffolk Artlink aims</w:t>
      </w:r>
      <w:r w:rsidRPr="00567611">
        <w:t xml:space="preserve"> to operate in compliance with all relevant environmental legislation and strives to follow pollution prevention and environment-friendly practices in all it does.</w:t>
      </w:r>
    </w:p>
    <w:p w14:paraId="273D07D2" w14:textId="2B10EAA2" w:rsidR="00782E95" w:rsidRDefault="00E37DEF" w:rsidP="009977AB">
      <w:pPr>
        <w:pStyle w:val="Heading2"/>
      </w:pPr>
      <w:r>
        <w:t>What We Are Measuring</w:t>
      </w:r>
    </w:p>
    <w:p w14:paraId="2ED52922" w14:textId="51E533DB" w:rsidR="00CD2E1B" w:rsidRDefault="00CD2E1B" w:rsidP="009977AB">
      <w:pPr>
        <w:pStyle w:val="Heading3"/>
      </w:pPr>
      <w:r>
        <w:t>Reasonable and relevant</w:t>
      </w:r>
    </w:p>
    <w:p w14:paraId="55A262D8" w14:textId="2336364C" w:rsidR="00C96F90" w:rsidRDefault="00C96F90" w:rsidP="00782E95">
      <w:r>
        <w:t>Our focus</w:t>
      </w:r>
      <w:r w:rsidR="000378A1">
        <w:t xml:space="preserve"> for measurement is</w:t>
      </w:r>
      <w:r>
        <w:t xml:space="preserve"> </w:t>
      </w:r>
      <w:r w:rsidR="00555AB6">
        <w:t xml:space="preserve">the </w:t>
      </w:r>
      <w:r w:rsidR="000378A1">
        <w:t xml:space="preserve">emissions that we control, that are a significant part of our activities, </w:t>
      </w:r>
      <w:r w:rsidR="0058746A">
        <w:t xml:space="preserve">where data is </w:t>
      </w:r>
      <w:r w:rsidR="007C454D">
        <w:t>available</w:t>
      </w:r>
      <w:r w:rsidR="0058746A">
        <w:t xml:space="preserve"> and where there’s a conversion factor that enables us to </w:t>
      </w:r>
      <w:r w:rsidR="004006DF">
        <w:t>assign</w:t>
      </w:r>
      <w:r w:rsidR="0058746A">
        <w:t xml:space="preserve"> a CO2</w:t>
      </w:r>
      <w:r w:rsidR="009977AB">
        <w:t>e</w:t>
      </w:r>
      <w:r w:rsidR="00266250">
        <w:rPr>
          <w:rStyle w:val="FootnoteReference"/>
        </w:rPr>
        <w:footnoteReference w:id="1"/>
      </w:r>
      <w:r w:rsidR="009977AB">
        <w:t xml:space="preserve"> value.</w:t>
      </w:r>
    </w:p>
    <w:p w14:paraId="6C96D4DE" w14:textId="57BFE89D" w:rsidR="009977AB" w:rsidRDefault="009977AB" w:rsidP="009977AB">
      <w:pPr>
        <w:pStyle w:val="Heading3"/>
      </w:pPr>
      <w:r>
        <w:t>Scopes</w:t>
      </w:r>
      <w:r w:rsidR="00220F1D">
        <w:t xml:space="preserve"> &amp; Boundaries</w:t>
      </w:r>
    </w:p>
    <w:p w14:paraId="45989C01" w14:textId="370B4ECB" w:rsidR="000C71E8" w:rsidRDefault="00D51B8C" w:rsidP="00FA69FB">
      <w:pPr>
        <w:rPr>
          <w:lang w:eastAsia="en-US"/>
        </w:rPr>
      </w:pPr>
      <w:r>
        <w:rPr>
          <w:lang w:eastAsia="en-US"/>
        </w:rPr>
        <w:t xml:space="preserve">Suffolk Artlink will </w:t>
      </w:r>
      <w:r w:rsidR="0011611E">
        <w:rPr>
          <w:lang w:eastAsia="en-US"/>
        </w:rPr>
        <w:t xml:space="preserve">focus on </w:t>
      </w:r>
      <w:r>
        <w:rPr>
          <w:lang w:eastAsia="en-US"/>
        </w:rPr>
        <w:t>measur</w:t>
      </w:r>
      <w:r w:rsidR="0011611E">
        <w:rPr>
          <w:lang w:eastAsia="en-US"/>
        </w:rPr>
        <w:t>ing</w:t>
      </w:r>
      <w:r>
        <w:rPr>
          <w:lang w:eastAsia="en-US"/>
        </w:rPr>
        <w:t xml:space="preserve"> emissions falling into scopes 1 and 2</w:t>
      </w:r>
      <w:r w:rsidR="00CD703C">
        <w:rPr>
          <w:lang w:eastAsia="en-US"/>
        </w:rPr>
        <w:t xml:space="preserve"> (</w:t>
      </w:r>
      <w:r w:rsidR="002E7BB8">
        <w:rPr>
          <w:lang w:eastAsia="en-US"/>
        </w:rPr>
        <w:t xml:space="preserve">our direct emissions and </w:t>
      </w:r>
      <w:r w:rsidR="00220F1D">
        <w:rPr>
          <w:lang w:eastAsia="en-US"/>
        </w:rPr>
        <w:t>our indirect electricity usage</w:t>
      </w:r>
      <w:r w:rsidR="00CD703C">
        <w:rPr>
          <w:lang w:eastAsia="en-US"/>
        </w:rPr>
        <w:t>)</w:t>
      </w:r>
      <w:r w:rsidR="001B46F8">
        <w:rPr>
          <w:lang w:eastAsia="en-US"/>
        </w:rPr>
        <w:t xml:space="preserve">. </w:t>
      </w:r>
      <w:r w:rsidR="00626C5C">
        <w:rPr>
          <w:lang w:eastAsia="en-US"/>
        </w:rPr>
        <w:t>We will</w:t>
      </w:r>
      <w:r w:rsidR="001B46F8">
        <w:rPr>
          <w:lang w:eastAsia="en-US"/>
        </w:rPr>
        <w:t xml:space="preserve"> include </w:t>
      </w:r>
      <w:r w:rsidR="000C71E8">
        <w:rPr>
          <w:lang w:eastAsia="en-US"/>
        </w:rPr>
        <w:t>travel for work</w:t>
      </w:r>
      <w:r w:rsidR="00626C5C">
        <w:rPr>
          <w:lang w:eastAsia="en-US"/>
        </w:rPr>
        <w:t xml:space="preserve"> from scope 3.</w:t>
      </w:r>
    </w:p>
    <w:p w14:paraId="21F677FF" w14:textId="77777777" w:rsidR="00616AB5" w:rsidRDefault="00A963C2" w:rsidP="00A963C2">
      <w:pPr>
        <w:rPr>
          <w:lang w:eastAsia="en-US"/>
        </w:rPr>
      </w:pPr>
      <w:r>
        <w:rPr>
          <w:lang w:eastAsia="en-US"/>
        </w:rPr>
        <w:lastRenderedPageBreak/>
        <w:t>The boundary is Suffolk Artlink’s operations.</w:t>
      </w:r>
    </w:p>
    <w:p w14:paraId="3C6E12A9" w14:textId="6A6AE595" w:rsidR="00FD0588" w:rsidRPr="00F52CF3" w:rsidRDefault="00AF2438" w:rsidP="00616AB5">
      <w:pPr>
        <w:pStyle w:val="Heading3"/>
        <w:rPr>
          <w:lang w:eastAsia="en-US"/>
        </w:rPr>
      </w:pPr>
      <w:r w:rsidRPr="00F52CF3">
        <w:rPr>
          <w:lang w:eastAsia="en-US"/>
        </w:rPr>
        <w:t>Reporting Period</w:t>
      </w:r>
      <w:r w:rsidR="00FD0588" w:rsidRPr="00F52CF3">
        <w:rPr>
          <w:lang w:eastAsia="en-US"/>
        </w:rPr>
        <w:t xml:space="preserve"> and </w:t>
      </w:r>
      <w:r w:rsidRPr="00F52CF3">
        <w:rPr>
          <w:lang w:eastAsia="en-US"/>
        </w:rPr>
        <w:t>Approach</w:t>
      </w:r>
    </w:p>
    <w:p w14:paraId="40341610" w14:textId="78189601" w:rsidR="00035CCD" w:rsidRDefault="00AF2438" w:rsidP="00616AB5">
      <w:pPr>
        <w:rPr>
          <w:lang w:eastAsia="en-US"/>
        </w:rPr>
      </w:pPr>
      <w:r>
        <w:rPr>
          <w:lang w:eastAsia="en-US"/>
        </w:rPr>
        <w:t xml:space="preserve">Suffolk Artlink’s </w:t>
      </w:r>
      <w:r w:rsidR="00626C5C">
        <w:rPr>
          <w:lang w:eastAsia="en-US"/>
        </w:rPr>
        <w:t xml:space="preserve">financial </w:t>
      </w:r>
      <w:r>
        <w:rPr>
          <w:lang w:eastAsia="en-US"/>
        </w:rPr>
        <w:t>reporting period is 1 April to 31 March</w:t>
      </w:r>
      <w:r w:rsidR="00622488">
        <w:rPr>
          <w:lang w:eastAsia="en-US"/>
        </w:rPr>
        <w:t>.</w:t>
      </w:r>
    </w:p>
    <w:p w14:paraId="1D067D5E" w14:textId="5D09400D" w:rsidR="00622488" w:rsidRDefault="00622488" w:rsidP="00716323">
      <w:pPr>
        <w:rPr>
          <w:lang w:eastAsia="en-US"/>
        </w:rPr>
      </w:pPr>
      <w:r>
        <w:rPr>
          <w:lang w:eastAsia="en-US"/>
        </w:rPr>
        <w:t>Suffolk Artlink will use the majority approach.</w:t>
      </w:r>
      <w:r w:rsidR="007D3A5B">
        <w:rPr>
          <w:lang w:eastAsia="en-US"/>
        </w:rPr>
        <w:t xml:space="preserve"> For example, for the </w:t>
      </w:r>
      <w:r w:rsidR="008F2AEB">
        <w:rPr>
          <w:lang w:eastAsia="en-US"/>
        </w:rPr>
        <w:t>year 1 April 2024 to 31 March 2025 Suffolk Artlink will use the</w:t>
      </w:r>
      <w:r>
        <w:rPr>
          <w:lang w:eastAsia="en-US"/>
        </w:rPr>
        <w:t xml:space="preserve"> </w:t>
      </w:r>
      <w:r w:rsidR="00805D96">
        <w:rPr>
          <w:lang w:eastAsia="en-US"/>
        </w:rPr>
        <w:t>DEFRA c</w:t>
      </w:r>
      <w:r w:rsidR="008F4B03">
        <w:rPr>
          <w:lang w:eastAsia="en-US"/>
        </w:rPr>
        <w:t xml:space="preserve">onversion factors </w:t>
      </w:r>
      <w:r w:rsidR="008F2AEB">
        <w:rPr>
          <w:lang w:eastAsia="en-US"/>
        </w:rPr>
        <w:t xml:space="preserve">for </w:t>
      </w:r>
      <w:r w:rsidR="00805D96">
        <w:rPr>
          <w:lang w:eastAsia="en-US"/>
        </w:rPr>
        <w:t>calendar year</w:t>
      </w:r>
      <w:r w:rsidR="008F2AEB">
        <w:rPr>
          <w:lang w:eastAsia="en-US"/>
        </w:rPr>
        <w:t xml:space="preserve"> 2024</w:t>
      </w:r>
      <w:r w:rsidR="00B33E16">
        <w:rPr>
          <w:lang w:eastAsia="en-US"/>
        </w:rPr>
        <w:t xml:space="preserve"> as the majority of the charity’s financial year </w:t>
      </w:r>
      <w:r w:rsidR="003A6762">
        <w:rPr>
          <w:lang w:eastAsia="en-US"/>
        </w:rPr>
        <w:t xml:space="preserve">is in the calendar year </w:t>
      </w:r>
      <w:r w:rsidR="00B33E16">
        <w:rPr>
          <w:lang w:eastAsia="en-US"/>
        </w:rPr>
        <w:t>2024</w:t>
      </w:r>
      <w:r w:rsidR="00805D96">
        <w:rPr>
          <w:lang w:eastAsia="en-US"/>
        </w:rPr>
        <w:t xml:space="preserve">. </w:t>
      </w:r>
    </w:p>
    <w:p w14:paraId="33D353F1" w14:textId="65FCED3A" w:rsidR="00A963C2" w:rsidRPr="003513E5" w:rsidRDefault="004E7469" w:rsidP="00716323">
      <w:pPr>
        <w:rPr>
          <w:b/>
          <w:bCs/>
          <w:lang w:eastAsia="en-US"/>
        </w:rPr>
      </w:pPr>
      <w:r w:rsidRPr="003513E5">
        <w:rPr>
          <w:b/>
          <w:bCs/>
          <w:lang w:eastAsia="en-US"/>
        </w:rPr>
        <w:t>Carbon Factors</w:t>
      </w:r>
    </w:p>
    <w:p w14:paraId="4B801498" w14:textId="3508A44A" w:rsidR="004E7469" w:rsidRDefault="00013873" w:rsidP="00DE18BD">
      <w:pPr>
        <w:jc w:val="both"/>
        <w:rPr>
          <w:lang w:eastAsia="en-US"/>
        </w:rPr>
      </w:pPr>
      <w:r>
        <w:rPr>
          <w:lang w:eastAsia="en-US"/>
        </w:rPr>
        <w:t xml:space="preserve">Suffolk Artlink will use the </w:t>
      </w:r>
      <w:r w:rsidRPr="00013873">
        <w:rPr>
          <w:lang w:eastAsia="en-US"/>
        </w:rPr>
        <w:t>UK Government GHG Conversion Factors for Company Reporting</w:t>
      </w:r>
      <w:r>
        <w:rPr>
          <w:lang w:eastAsia="en-US"/>
        </w:rPr>
        <w:t>, Co</w:t>
      </w:r>
      <w:r w:rsidR="00DE18BD">
        <w:rPr>
          <w:lang w:eastAsia="en-US"/>
        </w:rPr>
        <w:t>n</w:t>
      </w:r>
      <w:r>
        <w:rPr>
          <w:lang w:eastAsia="en-US"/>
        </w:rPr>
        <w:t>densed set</w:t>
      </w:r>
      <w:r w:rsidR="003513E5">
        <w:rPr>
          <w:lang w:eastAsia="en-US"/>
        </w:rPr>
        <w:t>.</w:t>
      </w:r>
    </w:p>
    <w:p w14:paraId="5DFC058C" w14:textId="77777777" w:rsidR="003513E5" w:rsidRDefault="003513E5" w:rsidP="00DE18BD">
      <w:pPr>
        <w:jc w:val="both"/>
        <w:rPr>
          <w:lang w:eastAsia="en-US"/>
        </w:rPr>
      </w:pPr>
    </w:p>
    <w:sectPr w:rsidR="003513E5">
      <w:headerReference w:type="first" r:id="rId7"/>
      <w:footerReference w:type="first" r:id="rId8"/>
      <w:pgSz w:w="11906" w:h="16838"/>
      <w:pgMar w:top="765" w:right="720" w:bottom="765" w:left="720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5CC8" w14:textId="77777777" w:rsidR="00D25071" w:rsidRDefault="00D25071">
      <w:pPr>
        <w:spacing w:before="0" w:after="0"/>
      </w:pPr>
      <w:r>
        <w:separator/>
      </w:r>
    </w:p>
  </w:endnote>
  <w:endnote w:type="continuationSeparator" w:id="0">
    <w:p w14:paraId="32EA8405" w14:textId="77777777" w:rsidR="00D25071" w:rsidRDefault="00D25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0257" w14:textId="77777777" w:rsidR="00677B7A" w:rsidRDefault="002269D0">
    <w:pPr>
      <w:pStyle w:val="Footer"/>
    </w:pPr>
    <w:r>
      <w:rPr>
        <w:noProof/>
      </w:rPr>
      <w:drawing>
        <wp:inline distT="0" distB="0" distL="0" distR="0" wp14:anchorId="50C6E959" wp14:editId="79F2CA27">
          <wp:extent cx="6645910" cy="671830"/>
          <wp:effectExtent l="0" t="0" r="0" b="0"/>
          <wp:docPr id="7004204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3623" w14:textId="77777777" w:rsidR="00D25071" w:rsidRDefault="00D25071">
      <w:pPr>
        <w:spacing w:before="0" w:after="0"/>
      </w:pPr>
      <w:r>
        <w:separator/>
      </w:r>
    </w:p>
  </w:footnote>
  <w:footnote w:type="continuationSeparator" w:id="0">
    <w:p w14:paraId="28BCF700" w14:textId="77777777" w:rsidR="00D25071" w:rsidRDefault="00D25071">
      <w:pPr>
        <w:spacing w:before="0" w:after="0"/>
      </w:pPr>
      <w:r>
        <w:continuationSeparator/>
      </w:r>
    </w:p>
  </w:footnote>
  <w:footnote w:id="1">
    <w:p w14:paraId="40AB55AC" w14:textId="4C328C4F" w:rsidR="00266250" w:rsidRDefault="002662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46B2" w:rsidRPr="005E46B2">
        <w:t>CO2e is the universal unit of measurement to indicate the global warming potential (GWP) of</w:t>
      </w:r>
      <w:r w:rsidR="00767162">
        <w:t xml:space="preserve"> Green House Gases</w:t>
      </w:r>
      <w:r w:rsidR="005E46B2" w:rsidRPr="005E46B2">
        <w:t xml:space="preserve"> </w:t>
      </w:r>
      <w:r w:rsidR="00767162">
        <w:t>(</w:t>
      </w:r>
      <w:r w:rsidR="005E46B2" w:rsidRPr="005E46B2">
        <w:t>GHGs</w:t>
      </w:r>
      <w:r w:rsidR="00767162">
        <w:t>)</w:t>
      </w:r>
      <w:r w:rsidR="005E46B2" w:rsidRPr="005E46B2">
        <w:t>, expressed in terms of the GWP of one unit of carbon dioxide.</w:t>
      </w:r>
      <w:r w:rsidR="00767162">
        <w:t xml:space="preserve">  GHGs includes</w:t>
      </w:r>
      <w:r w:rsidR="00FA69FB">
        <w:t xml:space="preserve"> Methane, Nitrous Oxide and F Gases as </w:t>
      </w:r>
      <w:r w:rsidR="0011611E">
        <w:t>well</w:t>
      </w:r>
      <w:r w:rsidR="00FA69FB">
        <w:t xml:space="preserve"> as CO2.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FB8D" w14:textId="77777777" w:rsidR="00677B7A" w:rsidRDefault="002269D0">
    <w:pPr>
      <w:pStyle w:val="Header"/>
    </w:pPr>
    <w:r>
      <w:rPr>
        <w:noProof/>
      </w:rPr>
      <w:drawing>
        <wp:inline distT="0" distB="0" distL="0" distR="0" wp14:anchorId="4033ACE3" wp14:editId="197C4DF2">
          <wp:extent cx="6645910" cy="2331720"/>
          <wp:effectExtent l="0" t="0" r="0" b="0"/>
          <wp:docPr id="886443610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screen shot of a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233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/>
  <w:attachedTemplate r:id="rId1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91"/>
    <w:rsid w:val="00013873"/>
    <w:rsid w:val="00035CCD"/>
    <w:rsid w:val="000378A1"/>
    <w:rsid w:val="000C71E8"/>
    <w:rsid w:val="0011611E"/>
    <w:rsid w:val="001B46F8"/>
    <w:rsid w:val="00220F1D"/>
    <w:rsid w:val="002269D0"/>
    <w:rsid w:val="00265ACF"/>
    <w:rsid w:val="00266250"/>
    <w:rsid w:val="002E7BB8"/>
    <w:rsid w:val="003513E5"/>
    <w:rsid w:val="003A6762"/>
    <w:rsid w:val="004006DF"/>
    <w:rsid w:val="00435C9F"/>
    <w:rsid w:val="004B16F6"/>
    <w:rsid w:val="004E7469"/>
    <w:rsid w:val="0052365B"/>
    <w:rsid w:val="00543041"/>
    <w:rsid w:val="00555AB6"/>
    <w:rsid w:val="00571B5C"/>
    <w:rsid w:val="0058746A"/>
    <w:rsid w:val="005E46B2"/>
    <w:rsid w:val="00616AB5"/>
    <w:rsid w:val="00622488"/>
    <w:rsid w:val="00623349"/>
    <w:rsid w:val="00626C5C"/>
    <w:rsid w:val="00657B00"/>
    <w:rsid w:val="00677B7A"/>
    <w:rsid w:val="006C2FCB"/>
    <w:rsid w:val="00707394"/>
    <w:rsid w:val="0070741F"/>
    <w:rsid w:val="00716323"/>
    <w:rsid w:val="00767162"/>
    <w:rsid w:val="007672E6"/>
    <w:rsid w:val="00775E91"/>
    <w:rsid w:val="00782E95"/>
    <w:rsid w:val="007C454D"/>
    <w:rsid w:val="007D3A5B"/>
    <w:rsid w:val="00805D96"/>
    <w:rsid w:val="008F2AEB"/>
    <w:rsid w:val="008F4B03"/>
    <w:rsid w:val="00906B62"/>
    <w:rsid w:val="0095284C"/>
    <w:rsid w:val="009977AB"/>
    <w:rsid w:val="009A3FBA"/>
    <w:rsid w:val="00A2027B"/>
    <w:rsid w:val="00A300D2"/>
    <w:rsid w:val="00A963C2"/>
    <w:rsid w:val="00AF2438"/>
    <w:rsid w:val="00B33E16"/>
    <w:rsid w:val="00B77A9C"/>
    <w:rsid w:val="00BA1C4A"/>
    <w:rsid w:val="00C96F90"/>
    <w:rsid w:val="00CB3F0D"/>
    <w:rsid w:val="00CD2E1B"/>
    <w:rsid w:val="00CD703C"/>
    <w:rsid w:val="00CF5AE5"/>
    <w:rsid w:val="00D25071"/>
    <w:rsid w:val="00D51B8C"/>
    <w:rsid w:val="00DA41B0"/>
    <w:rsid w:val="00DE14CD"/>
    <w:rsid w:val="00DE18BD"/>
    <w:rsid w:val="00E11602"/>
    <w:rsid w:val="00E37DEF"/>
    <w:rsid w:val="00F52CF3"/>
    <w:rsid w:val="00FA69FB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9A91"/>
  <w15:docId w15:val="{1A09663C-7478-4A20-BEDA-858A595D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5C"/>
    <w:pPr>
      <w:spacing w:before="100" w:beforeAutospacing="1" w:after="100" w:afterAutospacing="1"/>
    </w:pPr>
    <w:rPr>
      <w:rFonts w:eastAsia="Times New Roman" w:cs="Arial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5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B7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B7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5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sid w:val="00D5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5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52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52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5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5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5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52B7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D52B7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5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D52B75"/>
    <w:rPr>
      <w:rFonts w:ascii="Calibri" w:hAnsi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52B7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52B75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B75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64FB4"/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64FB4"/>
    <w:rPr>
      <w:rFonts w:ascii="Calibri" w:hAnsi="Calibr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F51CD"/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D52B7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B7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B75"/>
    <w:pPr>
      <w:spacing w:before="0" w:after="160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64FB4"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264FB4"/>
    <w:pPr>
      <w:tabs>
        <w:tab w:val="center" w:pos="4513"/>
        <w:tab w:val="right" w:pos="9026"/>
      </w:tabs>
      <w:spacing w:before="0"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625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250"/>
    <w:rPr>
      <w:rFonts w:eastAsia="Times New Roman" w:cs="Arial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66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tair%20Winch\OneDrive%20-%20Suffolk%20Artlink\Documents\OFFICE%20TEMPLATES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3EB4-B25C-4BB7-8323-DDABE8D1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131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Winch</dc:creator>
  <cp:lastModifiedBy>Alistair Winch</cp:lastModifiedBy>
  <cp:revision>60</cp:revision>
  <dcterms:created xsi:type="dcterms:W3CDTF">2025-09-11T11:45:00Z</dcterms:created>
  <dcterms:modified xsi:type="dcterms:W3CDTF">2025-10-02T08:49:00Z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2025-05-26T12:33:46Z</dcterms:created>
  <dc:creator/>
  <dc:description/>
  <dc:language>en-GB</dc:language>
  <cp:lastModifiedBy/>
  <dcterms:modified xsi:type="dcterms:W3CDTF">2025-05-26T12:34:15Z</dcterms:modified>
  <cp:revision>2</cp:revision>
  <dc:subject/>
  <dc:title/>
</cp:coreProperties>
</file>